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7FBA" w14:textId="77777777" w:rsidR="00357741" w:rsidRPr="00CC354F" w:rsidRDefault="00D527C5">
      <w:pPr>
        <w:rPr>
          <w:b/>
          <w:bCs/>
          <w:sz w:val="24"/>
          <w:szCs w:val="24"/>
        </w:rPr>
      </w:pPr>
      <w:r w:rsidRPr="00CC354F">
        <w:rPr>
          <w:b/>
          <w:bCs/>
          <w:sz w:val="24"/>
          <w:szCs w:val="24"/>
        </w:rPr>
        <w:t>Applicability of ATR–UV Spectroscopy for In Situ Monitoring of Residual Alkali in a Pilot-Scale Kraft Digester: Proof-of-Concept and Benchmarking Against Conventional Methods</w:t>
      </w:r>
    </w:p>
    <w:p w14:paraId="185AEACC" w14:textId="77777777" w:rsidR="00357741" w:rsidRDefault="00357741"/>
    <w:p w14:paraId="72EE60FC" w14:textId="77777777" w:rsidR="00357741" w:rsidRPr="00CC354F" w:rsidRDefault="00D527C5">
      <w:pPr>
        <w:rPr>
          <w:b/>
          <w:bCs/>
        </w:rPr>
      </w:pPr>
      <w:r w:rsidRPr="00CC354F">
        <w:rPr>
          <w:b/>
          <w:bCs/>
        </w:rPr>
        <w:t>Background and Motivation</w:t>
      </w:r>
    </w:p>
    <w:p w14:paraId="3E0B8B53" w14:textId="64CEBF78" w:rsidR="00357741" w:rsidRDefault="00D527C5" w:rsidP="00CC354F">
      <w:pPr>
        <w:jc w:val="both"/>
      </w:pPr>
      <w:r>
        <w:t xml:space="preserve">Effective control of residual alkali (effective alkali, EA) during kraft pulping is critical for ensuring consistent delignification kinetics, pulp quality, and chemical efficiency. Conventional monitoring relies primarily on offline ABC titration and conductivity-based measurements, which are time-consuming, susceptible to interference from dissolved species, and </w:t>
      </w:r>
      <w:r w:rsidR="00CC354F">
        <w:t xml:space="preserve">partially </w:t>
      </w:r>
      <w:r>
        <w:t xml:space="preserve">unsuitable for true real-time process control. </w:t>
      </w:r>
      <w:r w:rsidR="00CC354F">
        <w:t>Studies</w:t>
      </w:r>
      <w:r>
        <w:t xml:space="preserve"> in attenuated total reflection ultraviolet (ATR–UV) spectroscopy demonstrate the capability for online, in situ quantification of hydroxide, sulfide, dissolved lignin, and total dissolved solids (TDS) in kraft liquors without sample dilution. </w:t>
      </w:r>
      <w:r w:rsidRPr="00D527C5">
        <w:rPr>
          <w:b/>
          <w:bCs/>
        </w:rPr>
        <w:t>Chai et al. (2003)</w:t>
      </w:r>
      <w:r>
        <w:t xml:space="preserve"> reported successful integration of flow injection analysis (FIA) with ATR–UV to mitigate probe fouling and achieve stable, multivariate calibration-based monitoring of EA and sulfide during laboratory pulping. A complementary study demonstrated that ATR–UV responses can be exploited to quantify TDS in both weak and strong black liquors, enabling indirect tracking of liquor composition changes through refractive index effects.</w:t>
      </w:r>
    </w:p>
    <w:p w14:paraId="5BECB8A8" w14:textId="77777777" w:rsidR="00357741" w:rsidRDefault="00357741"/>
    <w:p w14:paraId="2374E624" w14:textId="77777777" w:rsidR="00357741" w:rsidRPr="00CC354F" w:rsidRDefault="00D527C5">
      <w:pPr>
        <w:rPr>
          <w:b/>
          <w:bCs/>
        </w:rPr>
      </w:pPr>
      <w:r w:rsidRPr="00CC354F">
        <w:rPr>
          <w:b/>
          <w:bCs/>
        </w:rPr>
        <w:t>Objectives</w:t>
      </w:r>
    </w:p>
    <w:p w14:paraId="56ADB623" w14:textId="77777777" w:rsidR="00357741" w:rsidRDefault="00D527C5">
      <w:r>
        <w:t>The primary objective of this thesis is to evaluate the feasibility of ATR–UV spectroscopy for in situ monitoring of residual alkali (EA) in a pilot-scale kraft digester. Specific goals are to:</w:t>
      </w:r>
    </w:p>
    <w:p w14:paraId="1D06E6CD" w14:textId="42DE0C97" w:rsidR="00CC354F" w:rsidRPr="00CC354F" w:rsidRDefault="00CC354F" w:rsidP="00CC354F">
      <w:pPr>
        <w:pStyle w:val="Listenabsatz"/>
        <w:numPr>
          <w:ilvl w:val="0"/>
          <w:numId w:val="10"/>
        </w:numPr>
      </w:pPr>
      <w:r w:rsidRPr="00CC354F">
        <w:rPr>
          <w:b/>
          <w:bCs/>
        </w:rPr>
        <w:t>Evaluate the usability and analytical performance of available ATR–UV/FIA systems</w:t>
      </w:r>
      <w:r w:rsidRPr="00CC354F">
        <w:t xml:space="preserve"> for offline measurements of black liquors obtained from kraft cooking experiments.</w:t>
      </w:r>
    </w:p>
    <w:p w14:paraId="2CD103B1" w14:textId="6FDBFD96" w:rsidR="00CC354F" w:rsidRPr="00CC354F" w:rsidRDefault="00CC354F" w:rsidP="00CC354F">
      <w:pPr>
        <w:pStyle w:val="Listenabsatz"/>
        <w:numPr>
          <w:ilvl w:val="0"/>
          <w:numId w:val="10"/>
        </w:numPr>
      </w:pPr>
      <w:r w:rsidRPr="00CC354F">
        <w:rPr>
          <w:b/>
          <w:bCs/>
        </w:rPr>
        <w:t>Develop and validate multivariate calibration models</w:t>
      </w:r>
      <w:r w:rsidRPr="00CC354F">
        <w:t xml:space="preserve"> (partial least-squares, PLS, regression) for the prediction of residual alkali under varying cooking conditions and liquor compositions.</w:t>
      </w:r>
    </w:p>
    <w:p w14:paraId="69876022" w14:textId="2F7DEF98" w:rsidR="00CC354F" w:rsidRPr="00CC354F" w:rsidRDefault="00CC354F" w:rsidP="00CC354F">
      <w:pPr>
        <w:pStyle w:val="Listenabsatz"/>
        <w:numPr>
          <w:ilvl w:val="0"/>
          <w:numId w:val="10"/>
        </w:numPr>
      </w:pPr>
      <w:r w:rsidRPr="00CC354F">
        <w:rPr>
          <w:b/>
          <w:bCs/>
        </w:rPr>
        <w:t>Benchmark ATR–UV-based measurements against conventional reference methods</w:t>
      </w:r>
      <w:r w:rsidRPr="00CC354F">
        <w:t>, including ABC titration and online conductivity sensing, with respect to accuracy, response time, robustness, and operational stability.</w:t>
      </w:r>
    </w:p>
    <w:p w14:paraId="097FF975" w14:textId="2BAC7B51" w:rsidR="00CC354F" w:rsidRPr="00CC354F" w:rsidRDefault="00CC354F" w:rsidP="00CC354F">
      <w:pPr>
        <w:pStyle w:val="Listenabsatz"/>
        <w:numPr>
          <w:ilvl w:val="0"/>
          <w:numId w:val="10"/>
        </w:numPr>
      </w:pPr>
      <w:r w:rsidRPr="00CC354F">
        <w:rPr>
          <w:b/>
          <w:bCs/>
        </w:rPr>
        <w:t xml:space="preserve">Assess the technical feasibility </w:t>
      </w:r>
      <w:r>
        <w:rPr>
          <w:b/>
          <w:bCs/>
        </w:rPr>
        <w:t>of implementation</w:t>
      </w:r>
      <w:r w:rsidRPr="00CC354F">
        <w:rPr>
          <w:b/>
          <w:bCs/>
        </w:rPr>
        <w:t xml:space="preserve"> of an ATR–UV/FIA system</w:t>
      </w:r>
      <w:r w:rsidRPr="00CC354F">
        <w:t xml:space="preserve"> on a pilot-scale digester recirculation line for real-time, in situ monitoring of effective alkali, sulfide, and dissolved lignin.</w:t>
      </w:r>
    </w:p>
    <w:p w14:paraId="3809CB02" w14:textId="77777777" w:rsidR="00357741" w:rsidRDefault="00357741"/>
    <w:p w14:paraId="1BD56B35" w14:textId="77777777" w:rsidR="00CC354F" w:rsidRDefault="00CC354F">
      <w:pPr>
        <w:rPr>
          <w:b/>
          <w:bCs/>
        </w:rPr>
      </w:pPr>
    </w:p>
    <w:p w14:paraId="0EE07068" w14:textId="22C0119E" w:rsidR="367520F3" w:rsidRDefault="367520F3" w:rsidP="367520F3">
      <w:pPr>
        <w:rPr>
          <w:b/>
          <w:bCs/>
        </w:rPr>
      </w:pPr>
    </w:p>
    <w:p w14:paraId="6ABDCC3D" w14:textId="1AA73628" w:rsidR="00357741" w:rsidRPr="00CC354F" w:rsidRDefault="00D527C5">
      <w:pPr>
        <w:rPr>
          <w:b/>
          <w:bCs/>
        </w:rPr>
      </w:pPr>
      <w:r w:rsidRPr="00CC354F">
        <w:rPr>
          <w:b/>
          <w:bCs/>
        </w:rPr>
        <w:t>Methodology</w:t>
      </w:r>
    </w:p>
    <w:p w14:paraId="5AA109AD" w14:textId="480FA12E" w:rsidR="00357741" w:rsidRDefault="00CC354F">
      <w:r w:rsidRPr="00CC354F">
        <w:t>Black liquor samples will be collected from controlled kraft cooking experiments</w:t>
      </w:r>
      <w:r>
        <w:t xml:space="preserve"> on a pilot digester</w:t>
      </w:r>
      <w:r w:rsidRPr="00CC354F">
        <w:t xml:space="preserve"> conducted under varying active alkali charge, </w:t>
      </w:r>
      <w:proofErr w:type="spellStart"/>
      <w:r w:rsidRPr="00CC354F">
        <w:t>sulfidity</w:t>
      </w:r>
      <w:proofErr w:type="spellEnd"/>
      <w:r w:rsidRPr="00CC354F">
        <w:t>, and temperature profiles. The usability and analytical performance of available ATR–UV/FIA systems will first be evaluated in offline mode by assessing spectral stability, repeatability, and sensitivity to matrix effects and probe fouling. Multivariate calibration models based on partial least-squares (PLS) regression will be developed for the prediction of residual alkali and validated against reference values obtained by ABC. ATR–UV results will be benchmarked against conductivity-based measurements in terms of accuracy, response time, and robustness. Based on these results, the technical feasibility of implementing an ATR–UV/FIA system on a pilot-scale digester recirculation line for real-time, in situ monitoring of effective alkali, sulfide, and dissolved lignin will be assessed.</w:t>
      </w:r>
    </w:p>
    <w:p w14:paraId="1EB1CCF2" w14:textId="77777777" w:rsidR="00CC354F" w:rsidRDefault="00CC354F"/>
    <w:p w14:paraId="6EFD1AE5" w14:textId="77777777" w:rsidR="00357741" w:rsidRPr="00CC354F" w:rsidRDefault="00D527C5">
      <w:pPr>
        <w:rPr>
          <w:b/>
          <w:bCs/>
        </w:rPr>
      </w:pPr>
      <w:r w:rsidRPr="00CC354F">
        <w:rPr>
          <w:b/>
          <w:bCs/>
        </w:rPr>
        <w:t>Expected Outcomes and Significance</w:t>
      </w:r>
    </w:p>
    <w:p w14:paraId="7EFDB65A" w14:textId="1249F726" w:rsidR="00357741" w:rsidRDefault="00D527C5">
      <w:r>
        <w:t xml:space="preserve">The project is expected to demonstrate whether ATR–UV spectroscopy can provide reliable, real-time residual alkali measurements at pilot scale with accuracy comparable to titration and improved temporal resolution over conductivity-based methods. The results will clarify operational limits related to </w:t>
      </w:r>
      <w:r w:rsidR="00CC354F">
        <w:t>the method</w:t>
      </w:r>
      <w:r>
        <w:t>, supporting the development of advanced process control strategies for kraft pulping based on continuous chemical profiling rather than time-based cooking endpoints.</w:t>
      </w:r>
    </w:p>
    <w:p w14:paraId="173D344D" w14:textId="220C2426" w:rsidR="00CC354F" w:rsidRDefault="00CC354F" w:rsidP="00CC354F">
      <w:r w:rsidRPr="00CC354F">
        <w:rPr>
          <w:b/>
          <w:bCs/>
        </w:rPr>
        <w:t>Industrial partner</w:t>
      </w:r>
      <w:r w:rsidRPr="00CC354F">
        <w:t xml:space="preserve"> </w:t>
      </w:r>
    </w:p>
    <w:p w14:paraId="100781B5" w14:textId="72F40A54" w:rsidR="00CC354F" w:rsidRPr="00CC354F" w:rsidRDefault="00CC354F" w:rsidP="00CC354F">
      <w:r w:rsidRPr="00CC354F">
        <w:t>Mondi AG, </w:t>
      </w:r>
      <w:proofErr w:type="spellStart"/>
      <w:r w:rsidRPr="00CC354F">
        <w:t>Marxergasse</w:t>
      </w:r>
      <w:proofErr w:type="spellEnd"/>
      <w:r w:rsidRPr="00CC354F">
        <w:t> 4A, 1030 Vienna (</w:t>
      </w:r>
      <w:hyperlink r:id="rId9" w:tgtFrame="_blank" w:history="1">
        <w:r w:rsidRPr="00CC354F">
          <w:rPr>
            <w:rStyle w:val="Hyperlink"/>
          </w:rPr>
          <w:t>www.mondigroup.com</w:t>
        </w:r>
      </w:hyperlink>
      <w:r w:rsidRPr="00CC354F">
        <w:t>) </w:t>
      </w:r>
    </w:p>
    <w:p w14:paraId="3BC09B3B" w14:textId="67100225" w:rsidR="00CC354F" w:rsidRPr="00CC354F" w:rsidRDefault="00CC354F" w:rsidP="00CC354F">
      <w:pPr>
        <w:rPr>
          <w:b/>
          <w:bCs/>
        </w:rPr>
      </w:pPr>
      <w:r w:rsidRPr="00CC354F">
        <w:rPr>
          <w:b/>
          <w:bCs/>
        </w:rPr>
        <w:t>Research partner </w:t>
      </w:r>
    </w:p>
    <w:p w14:paraId="0B07C6C9" w14:textId="52D5EE9F" w:rsidR="00CC354F" w:rsidRPr="00CC354F" w:rsidRDefault="00CC354F" w:rsidP="00CC354F">
      <w:r w:rsidRPr="00CC354F">
        <w:t>Technical University </w:t>
      </w:r>
      <w:r>
        <w:t>of Graz</w:t>
      </w:r>
    </w:p>
    <w:p w14:paraId="68B2C919" w14:textId="15FB79D1" w:rsidR="00CC354F" w:rsidRDefault="00CC354F" w:rsidP="00CC354F">
      <w:r w:rsidRPr="00CC354F">
        <w:rPr>
          <w:b/>
          <w:bCs/>
        </w:rPr>
        <w:t>Type of thesis</w:t>
      </w:r>
    </w:p>
    <w:p w14:paraId="4461D22E" w14:textId="6C2F2BDE" w:rsidR="00CC354F" w:rsidRPr="00CC354F" w:rsidRDefault="00CC354F" w:rsidP="00CC354F">
      <w:r w:rsidRPr="00CC354F">
        <w:t>Master Thesis, English language is preferred AND female students </w:t>
      </w:r>
    </w:p>
    <w:p w14:paraId="34995359" w14:textId="791F5EF6" w:rsidR="00CC354F" w:rsidRPr="00CC354F" w:rsidRDefault="00CC354F" w:rsidP="00CC354F">
      <w:pPr>
        <w:rPr>
          <w:b/>
          <w:bCs/>
        </w:rPr>
      </w:pPr>
      <w:r w:rsidRPr="00CC354F">
        <w:rPr>
          <w:b/>
          <w:bCs/>
        </w:rPr>
        <w:t xml:space="preserve">Start date </w:t>
      </w:r>
    </w:p>
    <w:p w14:paraId="77C8FB49" w14:textId="680B95E9" w:rsidR="00CC354F" w:rsidRPr="00CC354F" w:rsidRDefault="00CC354F" w:rsidP="00CC354F">
      <w:r>
        <w:t>December 2026 – January 2027</w:t>
      </w:r>
      <w:r w:rsidR="003754C0">
        <w:t xml:space="preserve"> in Graz</w:t>
      </w:r>
    </w:p>
    <w:p w14:paraId="47B2BC86" w14:textId="488D56E3" w:rsidR="00CC354F" w:rsidRPr="00D527C5" w:rsidRDefault="00CC354F" w:rsidP="00CC354F">
      <w:pPr>
        <w:rPr>
          <w:b/>
          <w:bCs/>
        </w:rPr>
      </w:pPr>
      <w:r w:rsidRPr="00D527C5">
        <w:rPr>
          <w:b/>
          <w:bCs/>
        </w:rPr>
        <w:t>Contact</w:t>
      </w:r>
      <w:r w:rsidRPr="00CC354F">
        <w:rPr>
          <w:b/>
          <w:bCs/>
        </w:rPr>
        <w:t> </w:t>
      </w:r>
    </w:p>
    <w:p w14:paraId="5D09FF21" w14:textId="77777777" w:rsidR="00D527C5" w:rsidRDefault="00D527C5" w:rsidP="00CC354F">
      <w:r w:rsidRPr="003754C0">
        <w:t xml:space="preserve">DI Dr. </w:t>
      </w:r>
      <w:proofErr w:type="spellStart"/>
      <w:r w:rsidRPr="003754C0">
        <w:t>techn</w:t>
      </w:r>
      <w:proofErr w:type="spellEnd"/>
      <w:r w:rsidRPr="003754C0">
        <w:t xml:space="preserve">. </w:t>
      </w:r>
      <w:r w:rsidRPr="00D527C5">
        <w:t xml:space="preserve">Alexandra </w:t>
      </w:r>
      <w:proofErr w:type="spellStart"/>
      <w:r w:rsidRPr="00D527C5">
        <w:t>Serebrennikova</w:t>
      </w:r>
      <w:proofErr w:type="spellEnd"/>
    </w:p>
    <w:p w14:paraId="31802602" w14:textId="638D8DFF" w:rsidR="00CC354F" w:rsidRPr="00CC354F" w:rsidRDefault="00D527C5" w:rsidP="00CC354F">
      <w:hyperlink r:id="rId10" w:history="1">
        <w:r w:rsidRPr="00E71B31">
          <w:rPr>
            <w:rStyle w:val="Hyperlink"/>
          </w:rPr>
          <w:t>alexandra.serebrennikova@mondigroup.com</w:t>
        </w:r>
      </w:hyperlink>
    </w:p>
    <w:p w14:paraId="6649A1F0" w14:textId="7CF80B10" w:rsidR="00357741" w:rsidRDefault="00CC354F">
      <w:r w:rsidRPr="00CC354F">
        <w:rPr>
          <w:b/>
          <w:bCs/>
        </w:rPr>
        <w:lastRenderedPageBreak/>
        <w:t>Salary</w:t>
      </w:r>
      <w:r w:rsidR="00D527C5">
        <w:rPr>
          <w:b/>
          <w:bCs/>
        </w:rPr>
        <w:t xml:space="preserve">: </w:t>
      </w:r>
      <w:r w:rsidR="00D527C5">
        <w:t>Paid Master thesis over FFG Project</w:t>
      </w:r>
      <w:r w:rsidRPr="00CC354F">
        <w:t> </w:t>
      </w:r>
    </w:p>
    <w:sectPr w:rsidR="003577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AAD39EE"/>
    <w:multiLevelType w:val="hybridMultilevel"/>
    <w:tmpl w:val="AFFABF92"/>
    <w:lvl w:ilvl="0" w:tplc="732E484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749F0"/>
    <w:multiLevelType w:val="hybridMultilevel"/>
    <w:tmpl w:val="A1DE3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899782">
    <w:abstractNumId w:val="8"/>
  </w:num>
  <w:num w:numId="2" w16cid:durableId="1395666120">
    <w:abstractNumId w:val="6"/>
  </w:num>
  <w:num w:numId="3" w16cid:durableId="1734350284">
    <w:abstractNumId w:val="5"/>
  </w:num>
  <w:num w:numId="4" w16cid:durableId="2063671698">
    <w:abstractNumId w:val="4"/>
  </w:num>
  <w:num w:numId="5" w16cid:durableId="1885482116">
    <w:abstractNumId w:val="7"/>
  </w:num>
  <w:num w:numId="6" w16cid:durableId="1917937664">
    <w:abstractNumId w:val="3"/>
  </w:num>
  <w:num w:numId="7" w16cid:durableId="350958787">
    <w:abstractNumId w:val="2"/>
  </w:num>
  <w:num w:numId="8" w16cid:durableId="49119054">
    <w:abstractNumId w:val="1"/>
  </w:num>
  <w:num w:numId="9" w16cid:durableId="1897087258">
    <w:abstractNumId w:val="0"/>
  </w:num>
  <w:num w:numId="10" w16cid:durableId="1015113000">
    <w:abstractNumId w:val="10"/>
  </w:num>
  <w:num w:numId="11" w16cid:durableId="899024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0843"/>
    <w:rsid w:val="0029639D"/>
    <w:rsid w:val="00326F90"/>
    <w:rsid w:val="00357741"/>
    <w:rsid w:val="003754C0"/>
    <w:rsid w:val="009574B5"/>
    <w:rsid w:val="00AA1D8D"/>
    <w:rsid w:val="00B47730"/>
    <w:rsid w:val="00C428BC"/>
    <w:rsid w:val="00CB0664"/>
    <w:rsid w:val="00CC354F"/>
    <w:rsid w:val="00D527C5"/>
    <w:rsid w:val="00E43D58"/>
    <w:rsid w:val="00FC693F"/>
    <w:rsid w:val="36752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7ECF0A"/>
  <w14:defaultImageDpi w14:val="300"/>
  <w15:docId w15:val="{347868E3-790D-461A-81DF-92E8C141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CC354F"/>
    <w:rPr>
      <w:color w:val="0000FF" w:themeColor="hyperlink"/>
      <w:u w:val="single"/>
    </w:rPr>
  </w:style>
  <w:style w:type="character" w:styleId="NichtaufgelsteErwhnung">
    <w:name w:val="Unresolved Mention"/>
    <w:basedOn w:val="Absatz-Standardschriftart"/>
    <w:uiPriority w:val="99"/>
    <w:semiHidden/>
    <w:unhideWhenUsed/>
    <w:rsid w:val="00CC354F"/>
    <w:rPr>
      <w:color w:val="605E5C"/>
      <w:shd w:val="clear" w:color="auto" w:fill="E1DFDD"/>
    </w:rPr>
  </w:style>
  <w:style w:type="character" w:styleId="BesuchterLink">
    <w:name w:val="FollowedHyperlink"/>
    <w:basedOn w:val="Absatz-Standardschriftart"/>
    <w:uiPriority w:val="99"/>
    <w:semiHidden/>
    <w:unhideWhenUsed/>
    <w:rsid w:val="00D527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85319">
      <w:bodyDiv w:val="1"/>
      <w:marLeft w:val="0"/>
      <w:marRight w:val="0"/>
      <w:marTop w:val="0"/>
      <w:marBottom w:val="0"/>
      <w:divBdr>
        <w:top w:val="none" w:sz="0" w:space="0" w:color="auto"/>
        <w:left w:val="none" w:sz="0" w:space="0" w:color="auto"/>
        <w:bottom w:val="none" w:sz="0" w:space="0" w:color="auto"/>
        <w:right w:val="none" w:sz="0" w:space="0" w:color="auto"/>
      </w:divBdr>
      <w:divsChild>
        <w:div w:id="1052001277">
          <w:marLeft w:val="0"/>
          <w:marRight w:val="0"/>
          <w:marTop w:val="0"/>
          <w:marBottom w:val="0"/>
          <w:divBdr>
            <w:top w:val="none" w:sz="0" w:space="0" w:color="auto"/>
            <w:left w:val="none" w:sz="0" w:space="0" w:color="auto"/>
            <w:bottom w:val="none" w:sz="0" w:space="0" w:color="auto"/>
            <w:right w:val="none" w:sz="0" w:space="0" w:color="auto"/>
          </w:divBdr>
        </w:div>
        <w:div w:id="1425302560">
          <w:marLeft w:val="0"/>
          <w:marRight w:val="0"/>
          <w:marTop w:val="0"/>
          <w:marBottom w:val="0"/>
          <w:divBdr>
            <w:top w:val="none" w:sz="0" w:space="0" w:color="auto"/>
            <w:left w:val="none" w:sz="0" w:space="0" w:color="auto"/>
            <w:bottom w:val="none" w:sz="0" w:space="0" w:color="auto"/>
            <w:right w:val="none" w:sz="0" w:space="0" w:color="auto"/>
          </w:divBdr>
        </w:div>
        <w:div w:id="945423648">
          <w:marLeft w:val="0"/>
          <w:marRight w:val="0"/>
          <w:marTop w:val="0"/>
          <w:marBottom w:val="0"/>
          <w:divBdr>
            <w:top w:val="none" w:sz="0" w:space="0" w:color="auto"/>
            <w:left w:val="none" w:sz="0" w:space="0" w:color="auto"/>
            <w:bottom w:val="none" w:sz="0" w:space="0" w:color="auto"/>
            <w:right w:val="none" w:sz="0" w:space="0" w:color="auto"/>
          </w:divBdr>
        </w:div>
        <w:div w:id="688408338">
          <w:marLeft w:val="0"/>
          <w:marRight w:val="0"/>
          <w:marTop w:val="0"/>
          <w:marBottom w:val="0"/>
          <w:divBdr>
            <w:top w:val="none" w:sz="0" w:space="0" w:color="auto"/>
            <w:left w:val="none" w:sz="0" w:space="0" w:color="auto"/>
            <w:bottom w:val="none" w:sz="0" w:space="0" w:color="auto"/>
            <w:right w:val="none" w:sz="0" w:space="0" w:color="auto"/>
          </w:divBdr>
        </w:div>
        <w:div w:id="550533265">
          <w:marLeft w:val="0"/>
          <w:marRight w:val="0"/>
          <w:marTop w:val="0"/>
          <w:marBottom w:val="0"/>
          <w:divBdr>
            <w:top w:val="none" w:sz="0" w:space="0" w:color="auto"/>
            <w:left w:val="none" w:sz="0" w:space="0" w:color="auto"/>
            <w:bottom w:val="none" w:sz="0" w:space="0" w:color="auto"/>
            <w:right w:val="none" w:sz="0" w:space="0" w:color="auto"/>
          </w:divBdr>
        </w:div>
        <w:div w:id="1895576004">
          <w:marLeft w:val="0"/>
          <w:marRight w:val="0"/>
          <w:marTop w:val="0"/>
          <w:marBottom w:val="0"/>
          <w:divBdr>
            <w:top w:val="none" w:sz="0" w:space="0" w:color="auto"/>
            <w:left w:val="none" w:sz="0" w:space="0" w:color="auto"/>
            <w:bottom w:val="none" w:sz="0" w:space="0" w:color="auto"/>
            <w:right w:val="none" w:sz="0" w:space="0" w:color="auto"/>
          </w:divBdr>
        </w:div>
        <w:div w:id="1067260670">
          <w:marLeft w:val="0"/>
          <w:marRight w:val="0"/>
          <w:marTop w:val="0"/>
          <w:marBottom w:val="0"/>
          <w:divBdr>
            <w:top w:val="none" w:sz="0" w:space="0" w:color="auto"/>
            <w:left w:val="none" w:sz="0" w:space="0" w:color="auto"/>
            <w:bottom w:val="none" w:sz="0" w:space="0" w:color="auto"/>
            <w:right w:val="none" w:sz="0" w:space="0" w:color="auto"/>
          </w:divBdr>
        </w:div>
      </w:divsChild>
    </w:div>
    <w:div w:id="659234786">
      <w:bodyDiv w:val="1"/>
      <w:marLeft w:val="0"/>
      <w:marRight w:val="0"/>
      <w:marTop w:val="0"/>
      <w:marBottom w:val="0"/>
      <w:divBdr>
        <w:top w:val="none" w:sz="0" w:space="0" w:color="auto"/>
        <w:left w:val="none" w:sz="0" w:space="0" w:color="auto"/>
        <w:bottom w:val="none" w:sz="0" w:space="0" w:color="auto"/>
        <w:right w:val="none" w:sz="0" w:space="0" w:color="auto"/>
      </w:divBdr>
      <w:divsChild>
        <w:div w:id="456261898">
          <w:marLeft w:val="0"/>
          <w:marRight w:val="0"/>
          <w:marTop w:val="0"/>
          <w:marBottom w:val="0"/>
          <w:divBdr>
            <w:top w:val="none" w:sz="0" w:space="0" w:color="auto"/>
            <w:left w:val="none" w:sz="0" w:space="0" w:color="auto"/>
            <w:bottom w:val="none" w:sz="0" w:space="0" w:color="auto"/>
            <w:right w:val="none" w:sz="0" w:space="0" w:color="auto"/>
          </w:divBdr>
        </w:div>
        <w:div w:id="1896239080">
          <w:marLeft w:val="0"/>
          <w:marRight w:val="0"/>
          <w:marTop w:val="0"/>
          <w:marBottom w:val="0"/>
          <w:divBdr>
            <w:top w:val="none" w:sz="0" w:space="0" w:color="auto"/>
            <w:left w:val="none" w:sz="0" w:space="0" w:color="auto"/>
            <w:bottom w:val="none" w:sz="0" w:space="0" w:color="auto"/>
            <w:right w:val="none" w:sz="0" w:space="0" w:color="auto"/>
          </w:divBdr>
        </w:div>
        <w:div w:id="696928569">
          <w:marLeft w:val="0"/>
          <w:marRight w:val="0"/>
          <w:marTop w:val="0"/>
          <w:marBottom w:val="0"/>
          <w:divBdr>
            <w:top w:val="none" w:sz="0" w:space="0" w:color="auto"/>
            <w:left w:val="none" w:sz="0" w:space="0" w:color="auto"/>
            <w:bottom w:val="none" w:sz="0" w:space="0" w:color="auto"/>
            <w:right w:val="none" w:sz="0" w:space="0" w:color="auto"/>
          </w:divBdr>
        </w:div>
        <w:div w:id="561718790">
          <w:marLeft w:val="0"/>
          <w:marRight w:val="0"/>
          <w:marTop w:val="0"/>
          <w:marBottom w:val="0"/>
          <w:divBdr>
            <w:top w:val="none" w:sz="0" w:space="0" w:color="auto"/>
            <w:left w:val="none" w:sz="0" w:space="0" w:color="auto"/>
            <w:bottom w:val="none" w:sz="0" w:space="0" w:color="auto"/>
            <w:right w:val="none" w:sz="0" w:space="0" w:color="auto"/>
          </w:divBdr>
        </w:div>
        <w:div w:id="1132360258">
          <w:marLeft w:val="0"/>
          <w:marRight w:val="0"/>
          <w:marTop w:val="0"/>
          <w:marBottom w:val="0"/>
          <w:divBdr>
            <w:top w:val="none" w:sz="0" w:space="0" w:color="auto"/>
            <w:left w:val="none" w:sz="0" w:space="0" w:color="auto"/>
            <w:bottom w:val="none" w:sz="0" w:space="0" w:color="auto"/>
            <w:right w:val="none" w:sz="0" w:space="0" w:color="auto"/>
          </w:divBdr>
        </w:div>
        <w:div w:id="167717588">
          <w:marLeft w:val="0"/>
          <w:marRight w:val="0"/>
          <w:marTop w:val="0"/>
          <w:marBottom w:val="0"/>
          <w:divBdr>
            <w:top w:val="none" w:sz="0" w:space="0" w:color="auto"/>
            <w:left w:val="none" w:sz="0" w:space="0" w:color="auto"/>
            <w:bottom w:val="none" w:sz="0" w:space="0" w:color="auto"/>
            <w:right w:val="none" w:sz="0" w:space="0" w:color="auto"/>
          </w:divBdr>
        </w:div>
        <w:div w:id="607928656">
          <w:marLeft w:val="0"/>
          <w:marRight w:val="0"/>
          <w:marTop w:val="0"/>
          <w:marBottom w:val="0"/>
          <w:divBdr>
            <w:top w:val="none" w:sz="0" w:space="0" w:color="auto"/>
            <w:left w:val="none" w:sz="0" w:space="0" w:color="auto"/>
            <w:bottom w:val="none" w:sz="0" w:space="0" w:color="auto"/>
            <w:right w:val="none" w:sz="0" w:space="0" w:color="auto"/>
          </w:divBdr>
        </w:div>
      </w:divsChild>
    </w:div>
    <w:div w:id="1692757177">
      <w:bodyDiv w:val="1"/>
      <w:marLeft w:val="0"/>
      <w:marRight w:val="0"/>
      <w:marTop w:val="0"/>
      <w:marBottom w:val="0"/>
      <w:divBdr>
        <w:top w:val="none" w:sz="0" w:space="0" w:color="auto"/>
        <w:left w:val="none" w:sz="0" w:space="0" w:color="auto"/>
        <w:bottom w:val="none" w:sz="0" w:space="0" w:color="auto"/>
        <w:right w:val="none" w:sz="0" w:space="0" w:color="auto"/>
      </w:divBdr>
    </w:div>
    <w:div w:id="1734813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lexandra.serebrennikova@mondigroup.com" TargetMode="External"/><Relationship Id="rId4" Type="http://schemas.openxmlformats.org/officeDocument/2006/relationships/customXml" Target="../customXml/item4.xml"/><Relationship Id="rId9" Type="http://schemas.openxmlformats.org/officeDocument/2006/relationships/hyperlink" Target="http://www.mond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47549E79F1646908193665D6D566C" ma:contentTypeVersion="16" ma:contentTypeDescription="Create a new document." ma:contentTypeScope="" ma:versionID="a7e94d774d0aeca00f0479c85df344c8">
  <xsd:schema xmlns:xsd="http://www.w3.org/2001/XMLSchema" xmlns:xs="http://www.w3.org/2001/XMLSchema" xmlns:p="http://schemas.microsoft.com/office/2006/metadata/properties" xmlns:ns2="932ff2fe-ead6-49e1-b59b-40ceda6aa7b4" xmlns:ns3="3c6dfc01-fa7a-44bb-99cb-8264b69b4654" targetNamespace="http://schemas.microsoft.com/office/2006/metadata/properties" ma:root="true" ma:fieldsID="5db791d7bf5b82958460a1846cf830d2" ns2:_="" ns3:_="">
    <xsd:import namespace="932ff2fe-ead6-49e1-b59b-40ceda6aa7b4"/>
    <xsd:import namespace="3c6dfc01-fa7a-44bb-99cb-8264b69b46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ff2fe-ead6-49e1-b59b-40ceda6aa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4234ff-7c4b-4d74-9525-85cad2db593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dfc01-fa7a-44bb-99cb-8264b69b46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25e16a-473e-48c6-b187-db988b932e0b}" ma:internalName="TaxCatchAll" ma:showField="CatchAllData" ma:web="3c6dfc01-fa7a-44bb-99cb-8264b69b4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ff2fe-ead6-49e1-b59b-40ceda6aa7b4">
      <Terms xmlns="http://schemas.microsoft.com/office/infopath/2007/PartnerControls"/>
    </lcf76f155ced4ddcb4097134ff3c332f>
    <TaxCatchAll xmlns="3c6dfc01-fa7a-44bb-99cb-8264b69b4654"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5D5306F-FBC8-4875-BBAC-CAB901C6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ff2fe-ead6-49e1-b59b-40ceda6aa7b4"/>
    <ds:schemaRef ds:uri="3c6dfc01-fa7a-44bb-99cb-8264b69b4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F03F0-B508-4E20-9DE2-04E6C87E51EB}">
  <ds:schemaRefs>
    <ds:schemaRef ds:uri="http://schemas.microsoft.com/sharepoint/v3/contenttype/forms"/>
  </ds:schemaRefs>
</ds:datastoreItem>
</file>

<file path=customXml/itemProps4.xml><?xml version="1.0" encoding="utf-8"?>
<ds:datastoreItem xmlns:ds="http://schemas.openxmlformats.org/officeDocument/2006/customXml" ds:itemID="{5C3C2A80-121D-4E46-86E9-50AD79F197CF}">
  <ds:schemaRefs>
    <ds:schemaRef ds:uri="http://schemas.microsoft.com/office/2006/metadata/properties"/>
    <ds:schemaRef ds:uri="http://schemas.microsoft.com/office/infopath/2007/PartnerControls"/>
    <ds:schemaRef ds:uri="932ff2fe-ead6-49e1-b59b-40ceda6aa7b4"/>
    <ds:schemaRef ds:uri="3c6dfc01-fa7a-44bb-99cb-8264b69b46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3707</Characters>
  <Application>Microsoft Office Word</Application>
  <DocSecurity>0</DocSecurity>
  <Lines>30</Lines>
  <Paragraphs>8</Paragraphs>
  <ScaleCrop>false</ScaleCrop>
  <Manager/>
  <Company/>
  <LinksUpToDate>false</LinksUpToDate>
  <CharactersWithSpaces>4287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Gerl, Leonie</cp:lastModifiedBy>
  <cp:revision>2</cp:revision>
  <dcterms:created xsi:type="dcterms:W3CDTF">2026-02-23T14:38:00Z</dcterms:created>
  <dcterms:modified xsi:type="dcterms:W3CDTF">2026-02-23T14:38:00Z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0x0101009BC47549E79F1646908193665D6D566C</vt:lpwstr>
  </property>
  <property fmtid="{D5CDD505-2E9C-101B-9397-08002B2CF9AE}" pid="3" name="MediaServiceImageTags">
    <vt:lpwstr/>
  </property>
</Properties>
</file>